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B1400C" w:rsidP="00B1400C" w:rsidR="00E223EE">
      <w:pPr>
        <w:jc w:val="center"/>
        <w:rPr>
          <w:rFonts w:cs="Times New Roman" w:hAnsi="Times New Roman" w:ascii="Times New Roman"/>
          <w:b/>
          <w:sz w:val="28"/>
          <w:szCs w:val="28"/>
        </w:rPr>
      </w:pPr>
      <w:r w:rsidRPr="00B1400C">
        <w:rPr>
          <w:rFonts w:cs="Times New Roman" w:hAnsi="Times New Roman" w:ascii="Times New Roman"/>
          <w:b/>
          <w:sz w:val="28"/>
          <w:szCs w:val="28"/>
        </w:rPr>
        <w:t>Сведения о муниципальных периодических печатных изданиях</w:t>
      </w:r>
    </w:p>
    <w:tbl>
      <w:tblPr>
        <w:tblW w:type="dxa" w:w="14560"/>
        <w:tblLook w:val="04A0" w:noVBand="1" w:noHBand="0" w:lastColumn="0" w:firstColumn="1" w:lastRow="0" w:firstRow="1"/>
      </w:tblPr>
      <w:tblGrid>
        <w:gridCol w:w="404"/>
        <w:gridCol w:w="1310"/>
        <w:gridCol w:w="1231"/>
        <w:gridCol w:w="1281"/>
        <w:gridCol w:w="1060"/>
        <w:gridCol w:w="1173"/>
        <w:gridCol w:w="1508"/>
        <w:gridCol w:w="1183"/>
        <w:gridCol w:w="1368"/>
        <w:gridCol w:w="1368"/>
        <w:gridCol w:w="1173"/>
        <w:gridCol w:w="1501"/>
      </w:tblGrid>
      <w:tr w:rsidTr="00500BD5" w:rsidR="00B1400C" w:rsidRPr="00B1400C">
        <w:trPr>
          <w:trHeight w:val="1890"/>
        </w:trPr>
        <w:tc>
          <w:tcPr>
            <w:tcW w:type="dxa" w:w="40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type="dxa" w:w="1310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type="dxa" w:w="123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type="dxa" w:w="128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Регистрационный номер свидетельства о регистрации  средства массовой информации</w:t>
            </w:r>
          </w:p>
        </w:tc>
        <w:tc>
          <w:tcPr>
            <w:tcW w:type="dxa" w:w="1060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Дата выдачи свидетельства о регистрации  средства массовой информации</w:t>
            </w:r>
          </w:p>
        </w:tc>
        <w:tc>
          <w:tcPr>
            <w:tcW w:type="dxa" w:w="117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type="dxa" w:w="1508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type="dxa" w:w="118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type="dxa" w:w="1368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type="dxa" w:w="1368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type="dxa" w:w="117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type="dxa" w:w="1501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sz w:val="16"/>
                <w:szCs w:val="16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Tr="00500BD5" w:rsidR="00B1400C" w:rsidRPr="00B1400C">
        <w:trPr>
          <w:trHeight w:val="31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Tr="00500BD5" w:rsidR="00B1400C" w:rsidRPr="00B1400C">
        <w:trPr>
          <w:trHeight w:val="1020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Родные просторы. Газета Верх-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Тулинского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ПИ № ТУ 54 -00036 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12.08.2008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630520, Новосибирская обл., Новосибирский р-н, с. Верх-Тула, ул. Советская, д. 1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Администрация Верх-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Тулинского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020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Вестник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Березовский сельсовет Новосибирского района Новосибирской области (Новосибирская область)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54 - 00853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23.11.2017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630015, Новосибирская обл., г. Новосибирск, ул. Планетная, д. 30,  к. 2а, офис 220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администрация Березовского сельсовета Новосибирского района Новосибирской области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4 раза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020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Новосибирский район - территория развития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Новосибирский район (Новосибирская область)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54 - 00687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10.07.2014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630091, Новосибирская обл., г. Новосибирск,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пр-кт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Красный, д. 82, офис 223В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Муниципальное автономное учреждение Новосибирского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райоа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Новосибирской области "Новости Новосибирского района"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1 раз в неделю 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27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Информационно-методический журнал "Управление развитием образования"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54 - 00774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17.12.2015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630032, Новосибирская обл., г. Новосибирск, ул. Котовского, д. 8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учреждение дополнительного профессионального образования города </w:t>
            </w: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lastRenderedPageBreak/>
              <w:t>Новосибирска "Городской центр развития образования"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lastRenderedPageBreak/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27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Вести от НАС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г. Новосибирск (Новосибирская область)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54 - 00740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30.03.2015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630005, Новосибирская обл., г. Новосибирск, ул. Гоголя, д. 43/1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МУНИЦИПАЛЬНОЕ ПРЕДПРИЯТИЕ Г.НОВОСИБИРСКА "НОВОСИБИРСКАЯ АПТЕЧНАЯ СЕТЬ"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27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Дошкольный вестник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54 - 00775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17.12.2015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630032, Новосибирская обл., г. Новосибирск, ул. Котовского, д. 8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дополнительного профессионального образования города Новосибирска "Городской центр развития образования"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 раз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27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Известия Кировского района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ФС 12-0474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23.08.2005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630004, Новосибирская обл., г. Новосибирск, ул. Ленина, д. 57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Администрация Кировского района города Новосибирска; Новосибирская городская общественная организация "Союз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кировчан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530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Барабинские ведомости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Барабинский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район Новосибирской области (Новосибирская область)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54 - 00745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22.05.2015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632334, Новосибирская обл., г. Барабинск, ул. Калинина, д. 5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ГОРОДА БАРАБИНСКА БАРАБИНСКОГО РАЙОНА НОВОСИБИРСКОЙ ОБЛАСТИ "ЦЕНТР КУЛЬТУРЫ И ДОСУГА"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94553B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</w:t>
            </w:r>
            <w:r w:rsidR="00192234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5</w:t>
            </w:r>
            <w:r w:rsidR="0094553B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выпуск</w:t>
            </w:r>
            <w:bookmarkStart w:name="_GoBack" w:id="0"/>
            <w:bookmarkEnd w:id="0"/>
            <w:r w:rsidR="0094553B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127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Информационный вестник "Педагогическое обозрение"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54 - 00772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02.12.2015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630032, Новосибирская обл., г. Новосибирск, ул. Котовского, д. 8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дополнительного профессионального образования города Новосибирска "Городской центр развития образования"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 раз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76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907AB2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</w:t>
            </w:r>
            <w:r w:rsidR="00907AB2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Сталкер</w:t>
            </w:r>
            <w:proofErr w:type="spellEnd"/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ФС 12-1787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15.01.2008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632735, Новосибирская обл.,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Купинский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р-н, г. Купино, ул. Советов, д. 89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Муниципальное учреждение "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Купинский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районный молодежный центр"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4630DE" w:rsidP="004630DE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20</w:t>
            </w:r>
            <w:r w:rsidR="00B1400C"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номе</w:t>
            </w: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ров</w:t>
            </w:r>
            <w:r w:rsidR="00B1400C"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76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907AB2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Линёвская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газета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. Линево Искитимского района (Новосибирская область)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54 - 00407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633216, Новосибирская обл., Искитимский р-н,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. Линево, ул.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Листвянская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администрация рабочего поселка Линево Искитимского района Новосибирской области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18 раз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500BD5" w:rsidRPr="00B1400C">
        <w:trPr>
          <w:trHeight w:val="76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Сельский дворик. Газета Мичуринского сельсовета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54 - 00477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630526, Новосибирская обл., Новосибирский р-н, п. Мичуринский, ул. Солнечная, д. 5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Администрация Мичуринского сельсовета Новосибирского района Новосибирской области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192234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3</w:t>
            </w:r>
            <w:r w:rsidR="00500BD5"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раз</w:t>
            </w: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а</w:t>
            </w:r>
            <w:r w:rsidR="00500BD5" w:rsidRPr="00500BD5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:rsidRDefault="00500BD5" w:rsidP="00500BD5" w:rsidR="00500BD5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Tr="00500BD5" w:rsidR="00B1400C" w:rsidRPr="00B1400C">
        <w:trPr>
          <w:trHeight w:val="765"/>
        </w:trPr>
        <w:tc>
          <w:tcPr>
            <w:tcW w:type="dxa" w:w="40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500BD5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type="dxa" w:w="131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Моё село. Газета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Барышевского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type="dxa" w:w="123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type="dxa" w:w="128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ПИ № ТУ 54 - 00374</w:t>
            </w:r>
          </w:p>
        </w:tc>
        <w:tc>
          <w:tcPr>
            <w:tcW w:type="dxa" w:w="1060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28.06.2011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630554, Новосибирская обл., Новосибирский р-н, с.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Барышево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, ул. Тельмана, д. 20</w:t>
            </w:r>
          </w:p>
        </w:tc>
        <w:tc>
          <w:tcPr>
            <w:tcW w:type="dxa" w:w="150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Барышевского</w:t>
            </w:r>
            <w:proofErr w:type="spellEnd"/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type="dxa" w:w="118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368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type="dxa" w:w="1173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type="dxa" w:w="150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:rsidRDefault="00B1400C" w:rsidP="00B1400C" w:rsidR="00B1400C" w:rsidRPr="00B1400C">
            <w:pPr>
              <w:spacing w:lineRule="auto" w:line="240" w:after="0"/>
              <w:jc w:val="center"/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</w:pPr>
            <w:r w:rsidRPr="00B1400C">
              <w:rPr>
                <w:rFonts w:cs="Times New Roman" w:eastAsia="Times New Roman" w:hAnsi="Times New Roman" w:asci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Default="00B1400C" w:rsidP="00B1400C" w:rsidR="00B1400C" w:rsidRPr="00B1400C">
      <w:pPr>
        <w:jc w:val="center"/>
        <w:rPr>
          <w:rFonts w:cs="Times New Roman" w:hAnsi="Times New Roman" w:ascii="Times New Roman"/>
          <w:b/>
          <w:sz w:val="28"/>
          <w:szCs w:val="28"/>
        </w:rPr>
      </w:pPr>
    </w:p>
    <w:sectPr w:rsidSect="00B1400C" w:rsidR="00B1400C" w:rsidRPr="00B1400C">
      <w:pgSz w:orient="landscape" w:h="11906" w:w="16838"/>
      <w:pgMar w:gutter="0" w:footer="708" w:header="708" w:left="1134" w:bottom="850" w:right="1134" w:top="1701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3" w:usb0="E0002EFF"/>
  </w:font>
  <w:font w:name="Segoe UI">
    <w:panose1 w:val="020B0502040204020203"/>
    <w:charset w:val="00"/>
    <w:family w:val="swiss"/>
    <w:notTrueType/>
    <w:pitch w:val="variable"/>
    <w:sig w:csb1="00000000" w:csb0="00000001" w:usb3="00000000" w:usb2="00000000" w:usb1="00000000" w:usb0="00000003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grammar="clean" w:spelling="clean"/>
  <w:defaultTabStop w:val="708"/>
  <w:characterSpacingControl w:val="doNotCompress"/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B1400C"/>
    <w:rsid w:val="00192234"/>
    <w:rsid w:val="004630DE"/>
    <w:rsid w:val="00500BD5"/>
    <w:rsid w:val="00907AB2"/>
    <w:rsid w:val="0094553B"/>
    <w:rsid w:val="00A635DB"/>
    <w:rsid w:val="00B1400C"/>
    <w:rsid w:val="00E2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541A-A88C-4D3F-AEF1-617B0927E4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59" w:after="16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3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B1400C"/>
    <w:pPr>
      <w:spacing w:lineRule="auto" w:line="240" w:after="0"/>
    </w:pPr>
    <w:rPr>
      <w:rFonts w:cs="Segoe UI" w:hAnsi="Segoe UI" w:ascii="Segoe UI"/>
      <w:sz w:val="18"/>
      <w:szCs w:val="18"/>
    </w:rPr>
  </w:style>
  <w:style w:customStyle="true" w:styleId="a4" w:type="character">
    <w:name w:val="Текст выноски Знак"/>
    <w:basedOn w:val="a0"/>
    <w:link w:val="a3"/>
    <w:uiPriority w:val="99"/>
    <w:semiHidden/>
    <w:rsid w:val="00B1400C"/>
    <w:rPr>
      <w:rFonts w:cs="Segoe UI" w:hAnsi="Segoe UI" w:ascii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193667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605529259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panose="020F0302020204030204" typeface="Calibri Light"/>
        <a:ea typeface=""/>
        <a:cs typeface=""/>
        <a:font typeface="游ゴシック Light" script="Jpan"/>
        <a:font typeface="맑은 고딕" script="Hang"/>
        <a:font typeface="等线 Light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panose="020F0502020204030204" typeface="Calibri"/>
        <a:ea typeface=""/>
        <a:cs typeface=""/>
        <a:font typeface="游明朝" script="Jpan"/>
        <a:font typeface="맑은 고딕" script="Hang"/>
        <a:font typeface="等线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false" ang="5400000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false" ang="5400000"/>
        </a:gradFill>
      </a:fillStyleLst>
      <a:lnStyleLst>
        <a:ln algn="ctr" cmpd="sng" cap="flat" w="6350">
          <a:solidFill>
            <a:schemeClr val="phClr"/>
          </a:solidFill>
          <a:prstDash val="solid"/>
          <a:miter lim="800000"/>
        </a:ln>
        <a:ln algn="ctr" cmpd="sng" cap="flat" w="12700">
          <a:solidFill>
            <a:schemeClr val="phClr"/>
          </a:solidFill>
          <a:prstDash val="solid"/>
          <a:miter lim="800000"/>
        </a:ln>
        <a:ln algn="ctr" cmpd="sng" cap="flat" w="19050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false" algn="ctr" dir="5400000" dist="19050" blurRad="5715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scaled="false" ang="540000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717</properties:Words>
  <properties:Characters>4092</properties:Characters>
  <properties:Lines>34</properties:Lines>
  <properties:Paragraphs>9</properties:Paragraphs>
  <properties:TotalTime>14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4800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2021-06-22T04:27:00Z</dcterms:created>
  <dc:creator>Лелетка</dc:creator>
  <dc:description/>
  <cp:keywords/>
  <cp:lastModifiedBy>docx4j</cp:lastModifiedBy>
  <cp:lastPrinted>2021-06-22T04:15:00Z</cp:lastPrinted>
  <dcterms:modified xmlns:xsi="http://www.w3.org/2001/XMLSchema-instance" xsi:type="dcterms:W3CDTF">2022-02-28T07:38:00Z</dcterms:modified>
  <cp:revision>5</cp:revision>
  <dc:subject/>
  <dc:title/>
</cp:coreProperties>
</file>